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5.png" ContentType="image/png"/>
  <Override PartName="/word/media/rId64.png" ContentType="image/png"/>
  <Override PartName="/word/media/rId61.png" ContentType="image/png"/>
  <Override PartName="/word/media/rId42.png" ContentType="image/png"/>
  <Override PartName="/word/media/rId52.png" ContentType="image/png"/>
  <Override PartName="/word/media/rId71.png" ContentType="image/png"/>
  <Override PartName="/word/media/rId68.png" ContentType="image/png"/>
  <Override PartName="/word/media/rId74.png" ContentType="image/png"/>
  <Override PartName="/word/media/rId90.png" ContentType="image/png"/>
  <Override PartName="/word/media/rId87.png" ContentType="image/png"/>
  <Override PartName="/word/media/rId84.png" ContentType="image/png"/>
  <Override PartName="/word/media/rId49.png" ContentType="image/png"/>
  <Override PartName="/word/media/rId55.png" ContentType="image/png"/>
  <Override PartName="/word/media/rId7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2025-07-16</w:t>
      </w:r>
    </w:p>
    <w:bookmarkStart w:id="108"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endChr m:val=")"/>
              <m:sepChr m:val=""/>
              <m:grow/>
            </m:dPr>
            <m:e>
              <m:r>
                <m:t>1</m:t>
              </m:r>
            </m:e>
          </m:d>
        </m:oMath>
      </m:oMathPara>
      <w:bookmarkEnd w:id="20"/>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D</m:t>
                  </m:r>
                </m:sub>
              </m:sSub>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endChr m:val=")"/>
              <m:sep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endChr m:val=")"/>
              <m:sep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endChr m:val=")"/>
              <m:sep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endChr m:val=")"/>
              <m:sep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t>t</m:t>
                  </m:r>
                  <m:r>
                    <m:rPr>
                      <m:sty m:val="p"/>
                    </m:rPr>
                    <m:t>,</m:t>
                  </m:r>
                  <m:r>
                    <m:rPr>
                      <m:sty m:val="p"/>
                    </m:rPr>
                    <m:t>≤</m:t>
                  </m:r>
                  <m:sSup>
                    <m:e>
                      <m:r>
                        <m:t>t</m:t>
                      </m:r>
                    </m:e>
                    <m:sup>
                      <m:r>
                        <m:rPr>
                          <m:sty m:val="p"/>
                        </m:rPr>
                        <m:t>*</m:t>
                      </m:r>
                    </m:sup>
                  </m:sSup>
                  <m:r>
                    <m:rPr>
                      <m:sty m:val="p"/>
                    </m:rPr>
                    <m:t>−</m:t>
                  </m:r>
                  <m:r>
                    <m:t>t</m:t>
                  </m:r>
                </m:sub>
              </m:sSub>
            </m:den>
          </m:f>
          <m:r>
            <m:t>  </m:t>
          </m:r>
          <m:d>
            <m:dPr>
              <m:begChr m:val="("/>
              <m:endChr m:val=")"/>
              <m:sep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endChr m:val=")"/>
              <m:sep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p>
      <w:pPr>
        <w:pStyle w:val="BodyText"/>
      </w:pPr>
      <w:r>
        <w:t xml:space="preserve">Note that estimation is again based on the last</w:t>
      </w:r>
      <w:r>
        <w:t xml:space="preserve"> </w:t>
      </w:r>
      <m:oMath>
        <m:r>
          <m:t>N</m:t>
        </m:r>
      </m:oMath>
      <w:r>
        <w:t xml:space="preserve"> </w:t>
      </w:r>
      <w:r>
        <w:t xml:space="preserve">rows of the respective reporting triangle, which must consequently contain at least</w:t>
      </w:r>
      <w:r>
        <w:t xml:space="preserve"> </w:t>
      </w:r>
      <m:oMath>
        <m:r>
          <m:t>M</m:t>
        </m:r>
        <m:r>
          <m:rPr>
            <m:sty m:val="p"/>
          </m:rPr>
          <m:t>+</m:t>
        </m:r>
        <m:r>
          <m:t>N</m:t>
        </m:r>
      </m:oMath>
      <w:r>
        <w:t xml:space="preserve"> </w:t>
      </w:r>
      <w:r>
        <w:t xml:space="preserve">rows in total.</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endChr m:val=")"/>
              <m:sep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endChr m:val=")"/>
              <m:sep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endChr m:val="]"/>
              <m:sep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r>
                <m:rPr>
                  <m:sty m:val="p"/>
                </m:rPr>
                <m:t>,</m:t>
              </m:r>
              <m:sSub>
                <m:e>
                  <m:r>
                    <m:t>ϕ</m:t>
                  </m:r>
                </m:e>
                <m:sub>
                  <m:r>
                    <m:t>j</m:t>
                  </m:r>
                </m:sub>
              </m:sSub>
            </m:e>
          </m:d>
          <m:r>
            <m:rPr>
              <m:sty m:val="p"/>
            </m:rPr>
            <m:t>,</m:t>
          </m:r>
          <m:r>
            <m:t>  </m:t>
          </m:r>
          <m:d>
            <m:dPr>
              <m:begChr m:val="("/>
              <m:endChr m:val=")"/>
              <m:sep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endChr m:val=")"/>
              <m:sep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endChr m:val="]"/>
              <m:sep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endChr m:val=")"/>
              <m:sep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based on the work of</w:t>
      </w:r>
      <w:r>
        <w:t xml:space="preserve"> </w:t>
      </w:r>
      <w:r>
        <w:t xml:space="preserve">(3)</w:t>
      </w:r>
      <w:r>
        <w:t xml:space="preser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endChr m:val=")"/>
              <m:sep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endChr m:val=")"/>
              <m:sep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endChr m:val=")"/>
              <m:sep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endChr m:val=")"/>
            <m:sep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endChr m:val=")"/>
            <m:sep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endChr m:val=")"/>
              <m:sepChr m:val=""/>
              <m:grow/>
            </m:dPr>
            <m:e>
              <m:r>
                <m:t>N</m:t>
              </m:r>
              <m:r>
                <m:rPr>
                  <m:sty m:val="p"/>
                </m:rPr>
                <m:t>=</m:t>
              </m:r>
              <m:r>
                <m:t>n</m:t>
              </m:r>
              <m:r>
                <m:rPr>
                  <m:sty m:val="p"/>
                </m:rPr>
                <m:t>|</m:t>
              </m:r>
              <m:r>
                <m:t>Y</m:t>
              </m:r>
              <m:r>
                <m:rPr>
                  <m:sty m:val="p"/>
                </m:rPr>
                <m:t>=</m:t>
              </m:r>
              <m:r>
                <m:t>y</m:t>
              </m:r>
            </m:e>
          </m:d>
          <m:r>
            <m:rPr>
              <m:sty m:val="p"/>
            </m:rPr>
            <m:t>×</m:t>
          </m:r>
          <m:r>
            <m:t>n</m:t>
          </m:r>
          <m:r>
            <m:t>  </m:t>
          </m:r>
          <m:d>
            <m:dPr>
              <m:begChr m:val="("/>
              <m:endChr m:val=")"/>
              <m:sep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endChr m:val=")"/>
                  <m:sep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endChr m:val=")"/>
            <m:sep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(4)</w:t>
      </w:r>
      <w:r>
        <w:t xml:space="preserve">. We then get</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d>
                <m:dPr>
                  <m:begChr m:val="("/>
                  <m:endChr m:val=")"/>
                  <m:sep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beign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(6)</w:t>
      </w:r>
      <w:r>
        <w:t xml:space="preserve"> </w:t>
      </w:r>
      <w:r>
        <w:t xml:space="preserve">and generated retrospective nowcasts, referring to these in the main text and supplement as the KIT simple nowcast revised. To facilitate a fair comparison to the original implementation, we also reran the original implementation on the same pre-processed reporting triangle and present those results below, with the original implementation labeled as “KIT simple nowcast original:.</w:t>
      </w:r>
    </w:p>
    <w:bookmarkEnd w:id="40"/>
    <w:bookmarkEnd w:id="41"/>
    <w:bookmarkStart w:id="94" w:name="additional-figures"/>
    <w:p>
      <w:pPr>
        <w:pStyle w:val="Heading2"/>
      </w:pPr>
      <w:r>
        <w:t xml:space="preserve">Additional figures</w:t>
      </w:r>
    </w:p>
    <w:bookmarkStart w:id="48" w:name="X79a741efcdfc1ca71ffb437a3ac4c8d13010893"/>
    <w:p>
      <w:pPr>
        <w:pStyle w:val="Heading3"/>
      </w:pPr>
      <w:r>
        <w:t xml:space="preserve">German Nowcast Hub validation using the original KIT simple nowcast implementation</w:t>
      </w:r>
    </w:p>
    <w:p>
      <w:pPr>
        <w:pStyle w:val="CaptionedFigure"/>
      </w:pPr>
      <w:r>
        <w:drawing>
          <wp:inline>
            <wp:extent cx="5334000" cy="3556000"/>
            <wp:effectExtent b="0" l="0" r="0" t="0"/>
            <wp:docPr descr="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original.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6" name="Picture"/>
            <a:graphic>
              <a:graphicData uri="http://schemas.openxmlformats.org/drawingml/2006/picture">
                <pic:pic>
                  <pic:nvPicPr>
                    <pic:cNvPr descr="../output/figs/supp/bar_chart_cov_ag_rt.png" id="47"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8"/>
    <w:bookmarkStart w:id="67" w:name="Xea2650dedf0b9c67dbb9313d734562158b4521f"/>
    <w:p>
      <w:pPr>
        <w:pStyle w:val="Heading3"/>
      </w:pPr>
      <w:r>
        <w:t xml:space="preserve">German Nowcast Hub validation additional figures</w:t>
      </w:r>
    </w:p>
    <w:p>
      <w:pPr>
        <w:pStyle w:val="CaptionedFigure"/>
      </w:pPr>
      <w:r>
        <w:drawing>
          <wp:inline>
            <wp:extent cx="5334000" cy="4267200"/>
            <wp:effectExtent b="0" l="0" r="0" t="0"/>
            <wp:docPr descr="Fig. S3 Relative WIS by age group of baselinenowcast compared to KIT simple nowcast revised. Vertical line at 1.0 indicates parity with KIT simple nowcast revised." title="" id="50" name="Picture"/>
            <a:graphic>
              <a:graphicData uri="http://schemas.openxmlformats.org/drawingml/2006/picture">
                <pic:pic>
                  <pic:nvPicPr>
                    <pic:cNvPr descr="../output/figs/supp/rel_wis_by_age_group.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KIT simple nowcast revised.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53" name="Picture"/>
            <a:graphic>
              <a:graphicData uri="http://schemas.openxmlformats.org/drawingml/2006/picture">
                <pic:pic>
                  <pic:nvPicPr>
                    <pic:cNvPr descr="../output/figs/supp/mean_wis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KIT simple nowcast revised." title="" id="56" name="Picture"/>
            <a:graphic>
              <a:graphicData uri="http://schemas.openxmlformats.org/drawingml/2006/picture">
                <pic:pic>
                  <pic:nvPicPr>
                    <pic:cNvPr descr="../output/figs/supp/rel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KIT simple nowcast revised.</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9" name="Picture"/>
            <a:graphic>
              <a:graphicData uri="http://schemas.openxmlformats.org/drawingml/2006/picture">
                <pic:pic>
                  <pic:nvPicPr>
                    <pic:cNvPr descr="../output/figs/supp/bar_chart_cov_ag.png" id="60" name="Picture"/>
                    <pic:cNvPicPr>
                      <a:picLocks noChangeArrowheads="1" noChangeAspect="1"/>
                    </pic:cNvPicPr>
                  </pic:nvPicPr>
                  <pic:blipFill>
                    <a:blip r:embed="rId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2" name="Picture"/>
            <a:graphic>
              <a:graphicData uri="http://schemas.openxmlformats.org/drawingml/2006/picture">
                <pic:pic>
                  <pic:nvPicPr>
                    <pic:cNvPr descr="../output/figs/supp/cov_by_horizon_ag.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65" name="Picture"/>
            <a:graphic>
              <a:graphicData uri="http://schemas.openxmlformats.org/drawingml/2006/picture">
                <pic:pic>
                  <pic:nvPicPr>
                    <pic:cNvPr descr="../output/figs/supp/cov_by_age_group.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67"/>
    <w:bookmarkStart w:id="80" w:name="model-permutation-study"/>
    <w:p>
      <w:pPr>
        <w:pStyle w:val="Heading3"/>
      </w:pPr>
      <w:r>
        <w:t xml:space="preserve">Model permutation study</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9" name="Picture"/>
            <a:graphic>
              <a:graphicData uri="http://schemas.openxmlformats.org/drawingml/2006/picture">
                <pic:pic>
                  <pic:nvPicPr>
                    <pic:cNvPr descr="../output/figs/supp/mp_wis_by_horizon.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72" name="Picture"/>
            <a:graphic>
              <a:graphicData uri="http://schemas.openxmlformats.org/drawingml/2006/picture">
                <pic:pic>
                  <pic:nvPicPr>
                    <pic:cNvPr descr="../output/figs/supp/mp_wis_by_age_group.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2133600"/>
            <wp:effectExtent b="0" l="0" r="0" t="0"/>
            <wp:docPr descr="Fig S11. Absolute WIS over time (by week) for each model configuration. Colour indicates model configuration, shading indicates WIS decomposed by dispersion, overprediction, and underprediction." title="" id="75" name="Picture"/>
            <a:graphic>
              <a:graphicData uri="http://schemas.openxmlformats.org/drawingml/2006/picture">
                <pic:pic>
                  <pic:nvPicPr>
                    <pic:cNvPr descr="../output/figs/supp/mp_wis_by_nowcast_week.png" id="76" name="Picture"/>
                    <pic:cNvPicPr>
                      <a:picLocks noChangeArrowheads="1" noChangeAspect="1"/>
                    </pic:cNvPicPr>
                  </pic:nvPicPr>
                  <pic:blipFill>
                    <a:blip r:embed="rId7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5334000"/>
            <wp:effectExtent b="0" l="0" r="0" t="0"/>
            <wp:docPr descr="Fig S12. Relative WIS over time across all age groups for each model configuration. Colours indicate model configuration. Horizontal dashed line indicates parity with the default configuration." title="" id="78" name="Picture"/>
            <a:graphic>
              <a:graphicData uri="http://schemas.openxmlformats.org/drawingml/2006/picture">
                <pic:pic>
                  <pic:nvPicPr>
                    <pic:cNvPr descr="../output/figs/supp/rel_wis_over_time_mp_all_ag.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80"/>
    <w:bookmarkStart w:id="93" w:name="Xb312b814e74f63f71dbc34f782212a751fd6c2e"/>
    <w:p>
      <w:pPr>
        <w:pStyle w:val="Heading3"/>
      </w:pPr>
      <w:r>
        <w:t xml:space="preserve">UKHSA norovirus surveillance model comparison</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82" name="Picture"/>
            <a:graphic>
              <a:graphicData uri="http://schemas.openxmlformats.org/drawingml/2006/picture">
                <pic:pic>
                  <pic:nvPicPr>
                    <pic:cNvPr descr="../output/figs/supp/wis_over_time_noro.png" id="83" name="Picture"/>
                    <pic:cNvPicPr>
                      <a:picLocks noChangeArrowheads="1" noChangeAspect="1"/>
                    </pic:cNvPicPr>
                  </pic:nvPicPr>
                  <pic:blipFill>
                    <a:blip r:embed="rId8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85" name="Picture"/>
            <a:graphic>
              <a:graphicData uri="http://schemas.openxmlformats.org/drawingml/2006/picture">
                <pic:pic>
                  <pic:nvPicPr>
                    <pic:cNvPr descr="../output/figs/supp/rel_mean_delay_over_time_noro.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88" name="Picture"/>
            <a:graphic>
              <a:graphicData uri="http://schemas.openxmlformats.org/drawingml/2006/picture">
                <pic:pic>
                  <pic:nvPicPr>
                    <pic:cNvPr descr="../output/figs/supp/noro_coverage.png" id="89"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91" name="Picture"/>
            <a:graphic>
              <a:graphicData uri="http://schemas.openxmlformats.org/drawingml/2006/picture">
                <pic:pic>
                  <pic:nvPicPr>
                    <pic:cNvPr descr="../output/figs/supp/noro_cov_wday.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93"/>
    <w:bookmarkEnd w:id="94"/>
    <w:bookmarkStart w:id="107" w:name="references"/>
    <w:p>
      <w:pPr>
        <w:pStyle w:val="Heading2"/>
      </w:pPr>
      <w:r>
        <w:t xml:space="preserve">References</w:t>
      </w:r>
    </w:p>
    <w:bookmarkStart w:id="106" w:name="refs"/>
    <w:bookmarkStart w:id="96"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95">
        <w:r>
          <w:rPr>
            <w:rStyle w:val="Hyperlink"/>
          </w:rPr>
          <w:t xml:space="preserve">https://doi.org/10.1371/journal.pcbi.1011394</w:t>
        </w:r>
      </w:hyperlink>
    </w:p>
    <w:bookmarkEnd w:id="96"/>
    <w:bookmarkStart w:id="98"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97">
        <w:r>
          <w:rPr>
            <w:rStyle w:val="Hyperlink"/>
          </w:rPr>
          <w:t xml:space="preserve">https://www.casact.org/sites/default/files/database/studynotes_friedland_estimating.pdf</w:t>
        </w:r>
      </w:hyperlink>
      <w:r>
        <w:t xml:space="preserve">; 2010.</w:t>
      </w:r>
      <w:r>
        <w:t xml:space="preserve"> </w:t>
      </w:r>
    </w:p>
    <w:bookmarkEnd w:id="98"/>
    <w:bookmarkStart w:id="99" w:name="ref-Morgenstern2025"/>
    <w:p>
      <w:pPr>
        <w:pStyle w:val="Bibliography"/>
      </w:pPr>
      <w:r>
        <w:t xml:space="preserve">3.</w:t>
      </w:r>
      <w:r>
        <w:t xml:space="preserve"> </w:t>
      </w:r>
      <w:r>
        <w:t xml:space="preserve">	</w:t>
      </w:r>
      <w:r>
        <w:t xml:space="preserve">Morgenstern C, Cori A. Disentangling mechanistic and observational overdispersion effects to infer superspreading from aggregated epidemic incidence. In preparation. 2025.</w:t>
      </w:r>
      <w:r>
        <w:t xml:space="preserve"> </w:t>
      </w:r>
    </w:p>
    <w:bookmarkEnd w:id="99"/>
    <w:bookmarkStart w:id="101" w:name="ref-Mathematica2024"/>
    <w:p>
      <w:pPr>
        <w:pStyle w:val="Bibliography"/>
      </w:pPr>
      <w:r>
        <w:t xml:space="preserve">4.</w:t>
      </w:r>
      <w:r>
        <w:t xml:space="preserve"> </w:t>
      </w:r>
      <w:r>
        <w:t xml:space="preserve">	</w:t>
      </w:r>
      <w:r>
        <w:t xml:space="preserve">Inc. WR. Mathematica,</w:t>
      </w:r>
      <w:r>
        <w:t xml:space="preserve"> </w:t>
      </w:r>
      <w:r>
        <w:t xml:space="preserve">V</w:t>
      </w:r>
      <w:r>
        <w:t xml:space="preserve">ersion 14.2 [Internet]. Available from:</w:t>
      </w:r>
      <w:r>
        <w:t xml:space="preserve"> </w:t>
      </w:r>
      <w:hyperlink r:id="rId100">
        <w:r>
          <w:rPr>
            <w:rStyle w:val="Hyperlink"/>
          </w:rPr>
          <w:t xml:space="preserve">https://www.wolfram.com/mathematica</w:t>
        </w:r>
      </w:hyperlink>
    </w:p>
    <w:bookmarkEnd w:id="101"/>
    <w:bookmarkStart w:id="103" w:name="ref-respinow_hub_2025"/>
    <w:p>
      <w:pPr>
        <w:pStyle w:val="Bibliography"/>
      </w:pPr>
      <w:r>
        <w:t xml:space="preserve">5.</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02">
        <w:r>
          <w:rPr>
            <w:rStyle w:val="Hyperlink"/>
          </w:rPr>
          <w:t xml:space="preserve">https://github.com/KITmetricslab/RESPINOW-Hub</w:t>
        </w:r>
      </w:hyperlink>
    </w:p>
    <w:bookmarkEnd w:id="103"/>
    <w:bookmarkStart w:id="105" w:name="ref-hospitalization_nowcast_hub_2025"/>
    <w:p>
      <w:pPr>
        <w:pStyle w:val="Bibliography"/>
      </w:pPr>
      <w:r>
        <w:t xml:space="preserve">6.</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04">
        <w:r>
          <w:rPr>
            <w:rStyle w:val="Hyperlink"/>
          </w:rPr>
          <w:t xml:space="preserve">https://github.com/KITmetricslab/hospitalization-nowcast-hub</w:t>
        </w:r>
      </w:hyperlink>
    </w:p>
    <w:bookmarkEnd w:id="105"/>
    <w:bookmarkEnd w:id="106"/>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2025-07-29T15:43:49Z</dcterms:created>
  <dcterms:modified xsi:type="dcterms:W3CDTF">2025-07-29T15:43:49Z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2025-07-16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